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adjustRightInd w:val="0"/>
        <w:snapToGrid w:val="0"/>
        <w:spacing w:line="560" w:lineRule="exact"/>
        <w:jc w:val="left"/>
        <w:rPr>
          <w:rFonts w:ascii="方正小标宋简体" w:eastAsia="方正小标宋简体"/>
          <w:snapToGrid w:val="0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snapToGrid w:val="0"/>
          <w:color w:val="000000"/>
          <w:sz w:val="32"/>
          <w:szCs w:val="32"/>
        </w:rPr>
        <w:t>行政权力事项实施清单</w:t>
      </w:r>
    </w:p>
    <w:p>
      <w:pPr>
        <w:tabs>
          <w:tab w:val="left" w:pos="0"/>
        </w:tabs>
        <w:adjustRightInd w:val="0"/>
        <w:snapToGrid w:val="0"/>
        <w:spacing w:line="560" w:lineRule="exact"/>
        <w:rPr>
          <w:rFonts w:ascii="?????_GBK" w:eastAsia="Times New Roman"/>
          <w:snapToGrid w:val="0"/>
          <w:color w:val="000000"/>
          <w:sz w:val="44"/>
          <w:szCs w:val="44"/>
        </w:rPr>
      </w:pPr>
    </w:p>
    <w:p>
      <w:pPr>
        <w:tabs>
          <w:tab w:val="left" w:pos="0"/>
        </w:tabs>
        <w:adjustRightInd w:val="0"/>
        <w:snapToGrid w:val="0"/>
        <w:spacing w:line="560" w:lineRule="exact"/>
        <w:jc w:val="center"/>
        <w:rPr>
          <w:rFonts w:ascii="方正小标宋简体" w:eastAsia="方正小标宋简体"/>
          <w:snapToGrid w:val="0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snapToGrid w:val="0"/>
          <w:color w:val="000000"/>
          <w:sz w:val="44"/>
          <w:szCs w:val="44"/>
        </w:rPr>
        <w:t>58</w:t>
      </w:r>
      <w:r>
        <w:rPr>
          <w:rFonts w:ascii="方正小标宋简体" w:eastAsia="方正小标宋简体"/>
          <w:snapToGrid w:val="0"/>
          <w:color w:val="000000"/>
          <w:sz w:val="44"/>
          <w:szCs w:val="44"/>
        </w:rPr>
        <w:t>.</w:t>
      </w:r>
      <w:r>
        <w:rPr>
          <w:rFonts w:hint="eastAsia" w:ascii="方正小标宋简体" w:eastAsia="方正小标宋简体"/>
          <w:snapToGrid w:val="0"/>
          <w:color w:val="000000"/>
          <w:sz w:val="44"/>
          <w:szCs w:val="44"/>
        </w:rPr>
        <w:t>划拨社会保险费</w:t>
      </w:r>
    </w:p>
    <w:p>
      <w:pPr>
        <w:tabs>
          <w:tab w:val="left" w:pos="0"/>
        </w:tabs>
        <w:adjustRightInd w:val="0"/>
        <w:snapToGrid w:val="0"/>
        <w:spacing w:line="240" w:lineRule="exact"/>
        <w:jc w:val="center"/>
        <w:rPr>
          <w:rFonts w:ascii="方正小标宋简体" w:eastAsia="方正小标宋简体"/>
          <w:b/>
          <w:sz w:val="24"/>
          <w:szCs w:val="24"/>
        </w:rPr>
      </w:pPr>
    </w:p>
    <w:tbl>
      <w:tblPr>
        <w:tblStyle w:val="10"/>
        <w:tblW w:w="90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653"/>
        <w:gridCol w:w="1411"/>
        <w:gridCol w:w="1418"/>
        <w:gridCol w:w="5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ascii="方正小标宋简体" w:hAnsi="宋体" w:eastAsia="方正小标宋简体"/>
                <w:sz w:val="28"/>
                <w:szCs w:val="28"/>
              </w:rPr>
              <w:t>1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事项类型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行政强制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ascii="方正小标宋简体" w:hAnsi="宋体" w:eastAsia="方正小标宋简体"/>
                <w:sz w:val="28"/>
                <w:szCs w:val="28"/>
              </w:rPr>
              <w:t>2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基本编码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ascii="方正小标宋简体" w:hAnsi="宋体" w:eastAsia="方正小标宋简体"/>
                <w:sz w:val="28"/>
                <w:szCs w:val="28"/>
              </w:rPr>
              <w:t>3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实施编码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ascii="方正小标宋简体" w:eastAsia="方正小标宋简体"/>
                <w:kern w:val="1"/>
                <w:sz w:val="28"/>
                <w:szCs w:val="28"/>
              </w:rPr>
              <w:t>4</w:t>
            </w:r>
          </w:p>
        </w:tc>
        <w:tc>
          <w:tcPr>
            <w:tcW w:w="1411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kern w:val="1"/>
                <w:sz w:val="28"/>
                <w:szCs w:val="28"/>
              </w:rPr>
              <w:t>事项名称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主项名称</w:t>
            </w:r>
          </w:p>
        </w:tc>
        <w:tc>
          <w:tcPr>
            <w:tcW w:w="555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b/>
                <w:sz w:val="21"/>
                <w:szCs w:val="21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划拨社会保险费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</w:p>
        </w:tc>
        <w:tc>
          <w:tcPr>
            <w:tcW w:w="1411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  <w:u w:val="single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子项名称</w:t>
            </w:r>
          </w:p>
        </w:tc>
        <w:tc>
          <w:tcPr>
            <w:tcW w:w="555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ascii="方正小标宋简体" w:hAnsi="宋体" w:eastAsia="方正小标宋简体"/>
                <w:sz w:val="28"/>
                <w:szCs w:val="28"/>
              </w:rPr>
              <w:t>5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实施主体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shd w:val="clear" w:color="auto" w:fill="FFFFFF"/>
              </w:rPr>
              <w:t>柳州市</w:t>
            </w:r>
            <w:r>
              <w:rPr>
                <w:rFonts w:hint="eastAsia" w:ascii="宋体" w:hAnsi="宋体"/>
                <w:sz w:val="21"/>
                <w:szCs w:val="21"/>
              </w:rPr>
              <w:t>人力资源和社会保障局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ascii="方正小标宋简体" w:eastAsia="方正小标宋简体"/>
                <w:kern w:val="1"/>
                <w:sz w:val="28"/>
                <w:szCs w:val="28"/>
              </w:rPr>
              <w:t>6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kern w:val="1"/>
                <w:sz w:val="28"/>
                <w:szCs w:val="28"/>
              </w:rPr>
              <w:t>实施主体性质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ascii="方正小标宋简体" w:hAnsi="宋体" w:eastAsia="方正小标宋简体"/>
                <w:sz w:val="28"/>
                <w:szCs w:val="28"/>
              </w:rPr>
              <w:t>7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承办机构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b/>
                <w:sz w:val="21"/>
                <w:szCs w:val="21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  <w:shd w:val="clear" w:color="auto" w:fill="FFFFFF"/>
              </w:rPr>
              <w:t>柳州市人力资源和社会保障局劳动监察科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8</w:t>
            </w:r>
          </w:p>
        </w:tc>
        <w:tc>
          <w:tcPr>
            <w:tcW w:w="1411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咨询及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监督电话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咨询电话</w:t>
            </w:r>
          </w:p>
        </w:tc>
        <w:tc>
          <w:tcPr>
            <w:tcW w:w="555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0772—</w:t>
            </w:r>
            <w:r>
              <w:rPr>
                <w:rFonts w:hint="eastAsia" w:ascii="宋体" w:hAnsi="宋体"/>
                <w:sz w:val="21"/>
                <w:szCs w:val="21"/>
              </w:rPr>
              <w:t>2870261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411" w:type="dxa"/>
            <w:vMerge w:val="continue"/>
            <w:tcMar>
              <w:top w:w="57" w:type="dxa"/>
              <w:bottom w:w="57" w:type="dxa"/>
            </w:tcMar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监督电话</w:t>
            </w:r>
          </w:p>
        </w:tc>
        <w:tc>
          <w:tcPr>
            <w:tcW w:w="555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0772—2869916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ascii="方正小标宋简体" w:hAnsi="宋体" w:eastAsia="方正小标宋简体"/>
                <w:sz w:val="28"/>
                <w:szCs w:val="28"/>
              </w:rPr>
              <w:t>9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设定依据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ascii="宋体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sz w:val="21"/>
                <w:szCs w:val="21"/>
              </w:rPr>
              <w:t>《中华人民共和国社会保险法》（</w:t>
            </w:r>
            <w:r>
              <w:rPr>
                <w:rFonts w:ascii="宋体" w:hAnsi="宋体"/>
                <w:sz w:val="21"/>
                <w:szCs w:val="21"/>
              </w:rPr>
              <w:t>2010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10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ascii="宋体" w:hAnsi="宋体"/>
                <w:sz w:val="21"/>
                <w:szCs w:val="21"/>
              </w:rPr>
              <w:t>28</w:t>
            </w:r>
            <w:r>
              <w:rPr>
                <w:rFonts w:hint="eastAsia" w:ascii="宋体" w:hAnsi="宋体"/>
                <w:sz w:val="21"/>
                <w:szCs w:val="21"/>
              </w:rPr>
              <w:t>日中华人民共和国主席令第</w:t>
            </w:r>
            <w:r>
              <w:rPr>
                <w:rFonts w:ascii="宋体" w:hAnsi="宋体"/>
                <w:sz w:val="21"/>
                <w:szCs w:val="21"/>
              </w:rPr>
              <w:t>35</w:t>
            </w:r>
            <w:r>
              <w:rPr>
                <w:rFonts w:hint="eastAsia" w:ascii="宋体" w:hAnsi="宋体"/>
                <w:sz w:val="21"/>
                <w:szCs w:val="21"/>
              </w:rPr>
              <w:t>号公布，自</w:t>
            </w:r>
            <w:r>
              <w:rPr>
                <w:rFonts w:ascii="宋体" w:hAnsi="宋体"/>
                <w:sz w:val="21"/>
                <w:szCs w:val="21"/>
              </w:rPr>
              <w:t>2011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7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日起施行）第四十一条职工所在用人单位未依法缴纳工伤保险费，发生工伤事故的，由用人单位支付工伤保险待遇。用人单位不支付的，从工伤保险基金中先行支付。从工伤保险基金中先行支付的工伤保险待遇应当由用人单位偿还。用人单位不偿还的，社会保险经办机构可以依照本法第六十三条的规定追偿。</w:t>
            </w:r>
          </w:p>
          <w:p>
            <w:pPr>
              <w:widowControl/>
              <w:adjustRightInd w:val="0"/>
              <w:snapToGrid w:val="0"/>
              <w:spacing w:line="400" w:lineRule="exact"/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第六十三条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第一款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用人单位未按时足额缴纳社会保险费的，由社会保险费征收机构责令其限期缴纳或者补足。</w:t>
            </w:r>
          </w:p>
          <w:p>
            <w:pPr>
              <w:widowControl/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第六十三条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第二款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用人单位逾期仍未缴纳或者补足社会保险费的，社会保险费征收机构可以向银行和其他金融机构查询其存款账户；并可以申请县级以上有关行政部门作出划拨社会保险费的决定，书面通知其开户银行或者其他金融机构划拨社会保险费。用人单位账户余额少于应当缴纳的社会保险费的，社会保险费征收机构可以要求该用人单位提供担保，签订延期缴费协议。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</w:t>
            </w:r>
            <w:r>
              <w:rPr>
                <w:rFonts w:ascii="宋体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sz w:val="21"/>
                <w:szCs w:val="21"/>
              </w:rPr>
              <w:t>《社会保险费申报缴纳管理规定》</w:t>
            </w:r>
            <w:r>
              <w:rPr>
                <w:rFonts w:ascii="宋体" w:hAnsi="宋体"/>
                <w:sz w:val="21"/>
                <w:szCs w:val="21"/>
              </w:rPr>
              <w:t>(2013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9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ascii="宋体" w:hAnsi="宋体"/>
                <w:sz w:val="21"/>
                <w:szCs w:val="21"/>
              </w:rPr>
              <w:t>26</w:t>
            </w:r>
            <w:r>
              <w:rPr>
                <w:rFonts w:hint="eastAsia" w:ascii="宋体" w:hAnsi="宋体"/>
                <w:sz w:val="21"/>
                <w:szCs w:val="21"/>
              </w:rPr>
              <w:t>日人力资源和社会保障部令第</w:t>
            </w: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hint="eastAsia" w:ascii="宋体" w:hAnsi="宋体"/>
                <w:sz w:val="21"/>
                <w:szCs w:val="21"/>
              </w:rPr>
              <w:t>号公布，自</w:t>
            </w:r>
            <w:r>
              <w:rPr>
                <w:rFonts w:ascii="宋体" w:hAnsi="宋体"/>
                <w:sz w:val="21"/>
                <w:szCs w:val="21"/>
              </w:rPr>
              <w:t>2013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11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日起施行</w:t>
            </w:r>
            <w:r>
              <w:rPr>
                <w:rFonts w:ascii="宋体" w:hAnsi="宋体"/>
                <w:sz w:val="21"/>
                <w:szCs w:val="21"/>
              </w:rPr>
              <w:t xml:space="preserve">) </w:t>
            </w:r>
            <w:r>
              <w:rPr>
                <w:rFonts w:hint="eastAsia" w:ascii="宋体" w:hAnsi="宋体"/>
                <w:sz w:val="21"/>
                <w:szCs w:val="21"/>
              </w:rPr>
              <w:t>第十九条　社会保险行政部门接到社会保险经办机构划拨申请后，应当按照《中华人民共和国行政强制法》的规定，及时作出划拨社会保险费决定，并书面通知用人单位开户银行或者其他金融机构予以划拨。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ascii="方正小标宋简体" w:hAnsi="宋体" w:eastAsia="方正小标宋简体"/>
                <w:sz w:val="28"/>
                <w:szCs w:val="28"/>
              </w:rPr>
              <w:t>10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实施对象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逾期未缴纳或者补足社会保险费的机关、事业单位、企业、社会组织等用人单位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11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行使层级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此事项属于市、县两级分级管理。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12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行使内容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属地管理原则，市级负责本辖区划拨欠缴单位的社会保险费。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13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法定办结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时限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实施加处罚款或者滞纳金超过三十日，经催告当事人仍不履行的，具有行政强制执行权的行政机关可以强制执行。（《行政强制法》第四十五条　行政机关依法作出金钱给付义务的行政决定，当事人逾期不履行的，行政机关可以依法加处罚款或者滞纳金。）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14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行政强制流程</w:t>
            </w:r>
          </w:p>
        </w:tc>
        <w:tc>
          <w:tcPr>
            <w:tcW w:w="6968" w:type="dxa"/>
            <w:gridSpan w:val="2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kern w:val="1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详见附件58-</w:t>
            </w: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15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结果名称</w:t>
            </w:r>
          </w:p>
        </w:tc>
        <w:tc>
          <w:tcPr>
            <w:tcW w:w="6968" w:type="dxa"/>
            <w:gridSpan w:val="2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划拨欠缴社会保险费决定书。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16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运行系统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ascii="方正小标宋简体" w:hAnsi="宋体" w:eastAsia="方正小标宋简体"/>
                <w:sz w:val="28"/>
                <w:szCs w:val="28"/>
              </w:rPr>
              <w:t>17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责任事项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催告责任：执法人员通知当事人到场且出示行政执法证件，当事人不到场的，邀请见证人到场，下达催告通知书，告知当事人采取行政强制措施的理由、依据以及当事人依法享有的陈述、申辩等权利和救济途径</w:t>
            </w:r>
            <w:r>
              <w:rPr>
                <w:rFonts w:ascii="宋体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sz w:val="21"/>
                <w:szCs w:val="21"/>
              </w:rPr>
              <w:t>听取当事人的陈述和申辩，制作现场笔录，现场笔录由当事人（见证人）和行政执法人员签名或者盖章</w:t>
            </w:r>
            <w:r>
              <w:rPr>
                <w:rFonts w:ascii="宋体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sz w:val="21"/>
                <w:szCs w:val="21"/>
              </w:rPr>
              <w:t>当事人拒绝签名或者盖章的，在笔录中予以注明</w:t>
            </w:r>
            <w:r>
              <w:rPr>
                <w:rFonts w:ascii="宋体"/>
                <w:sz w:val="21"/>
                <w:szCs w:val="21"/>
              </w:rPr>
              <w:t>.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决定阶段责任：充分听取当事人提出的事实、理由和证据，进行记录和复核，无正当理由的，向本行政机关负责人报告，经批准作出强制执行决定，送达行政强制执行决定书</w:t>
            </w:r>
            <w:r>
              <w:rPr>
                <w:rFonts w:ascii="宋体"/>
                <w:sz w:val="21"/>
                <w:szCs w:val="21"/>
              </w:rPr>
              <w:t>.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3.</w:t>
            </w:r>
            <w:r>
              <w:rPr>
                <w:rFonts w:hint="eastAsia" w:ascii="宋体" w:hAnsi="宋体"/>
                <w:sz w:val="21"/>
                <w:szCs w:val="21"/>
              </w:rPr>
              <w:t>执行阶段责任：采取行政强制执行，对经检验、检查发现提供虚假证明、凭证或者检验合格标志，存在欺骗、贿赂等不正当手段的。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4.</w:t>
            </w:r>
            <w:r>
              <w:rPr>
                <w:rFonts w:hint="eastAsia" w:ascii="宋体" w:hAnsi="宋体"/>
                <w:sz w:val="21"/>
                <w:szCs w:val="21"/>
              </w:rPr>
              <w:t>事后监管阶段责任：继续加强事中事后监督管理</w:t>
            </w:r>
            <w:r>
              <w:rPr>
                <w:rFonts w:ascii="宋体"/>
                <w:sz w:val="21"/>
                <w:szCs w:val="21"/>
              </w:rPr>
              <w:t>.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5.</w:t>
            </w:r>
            <w:r>
              <w:rPr>
                <w:rFonts w:hint="eastAsia" w:ascii="宋体" w:hAnsi="宋体"/>
                <w:sz w:val="21"/>
                <w:szCs w:val="21"/>
              </w:rPr>
              <w:t>其他法律法规规章文件规定应履行的责任</w:t>
            </w:r>
            <w:r>
              <w:rPr>
                <w:rFonts w:ascii="宋体"/>
                <w:sz w:val="21"/>
                <w:szCs w:val="21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ascii="方正小标宋简体" w:hAnsi="宋体" w:eastAsia="方正小标宋简体"/>
                <w:sz w:val="28"/>
                <w:szCs w:val="28"/>
              </w:rPr>
              <w:t>18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追责情形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因不履行或不正确履行行政职责，有下列情形的，行政机关及相关工作人员应承担相应责任：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无法定依据或者超越法定权限实施行政强制的；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违反法定程序实施行政强制的；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3.</w:t>
            </w:r>
            <w:r>
              <w:rPr>
                <w:rFonts w:hint="eastAsia" w:ascii="宋体" w:hAnsi="宋体"/>
                <w:sz w:val="21"/>
                <w:szCs w:val="21"/>
              </w:rPr>
              <w:t>不具备行政执法资格实施行政强制的；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4.</w:t>
            </w:r>
            <w:r>
              <w:rPr>
                <w:rFonts w:hint="eastAsia" w:ascii="宋体" w:hAnsi="宋体"/>
                <w:sz w:val="21"/>
                <w:szCs w:val="21"/>
              </w:rPr>
              <w:t>使用、丢失或损毁先行登记的财物，给行政相对人造成损失的；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5.</w:t>
            </w:r>
            <w:r>
              <w:rPr>
                <w:rFonts w:hint="eastAsia" w:ascii="宋体" w:hAnsi="宋体"/>
                <w:sz w:val="21"/>
                <w:szCs w:val="21"/>
              </w:rPr>
              <w:t>在实施行政强制过程中滥用职权、玩忽职守、徇私舞弊的；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6.</w:t>
            </w:r>
            <w:r>
              <w:rPr>
                <w:rFonts w:hint="eastAsia" w:ascii="宋体" w:hAnsi="宋体"/>
                <w:sz w:val="21"/>
                <w:szCs w:val="21"/>
              </w:rPr>
              <w:t>利用行政强制权为单位或者个人谋取利益的；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/>
                <w:sz w:val="21"/>
                <w:szCs w:val="21"/>
                <w:u w:val="single"/>
              </w:rPr>
            </w:pPr>
            <w:r>
              <w:rPr>
                <w:rFonts w:ascii="宋体" w:hAnsi="宋体"/>
                <w:sz w:val="21"/>
                <w:szCs w:val="21"/>
              </w:rPr>
              <w:t>7.</w:t>
            </w:r>
            <w:r>
              <w:rPr>
                <w:rFonts w:hint="eastAsia" w:ascii="宋体" w:hAnsi="宋体"/>
                <w:sz w:val="21"/>
                <w:szCs w:val="21"/>
              </w:rPr>
              <w:t>其他违反法律法规规章文件规定的行为</w:t>
            </w:r>
            <w:r>
              <w:rPr>
                <w:rFonts w:ascii="宋体"/>
                <w:sz w:val="21"/>
                <w:szCs w:val="21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653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ascii="方正小标宋简体" w:hAnsi="宋体" w:eastAsia="方正小标宋简体"/>
                <w:sz w:val="28"/>
                <w:szCs w:val="28"/>
              </w:rPr>
              <w:t>19</w:t>
            </w:r>
          </w:p>
        </w:tc>
        <w:tc>
          <w:tcPr>
            <w:tcW w:w="141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备注</w:t>
            </w:r>
          </w:p>
        </w:tc>
        <w:tc>
          <w:tcPr>
            <w:tcW w:w="696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宋体" w:cs="宋体"/>
                <w:kern w:val="0"/>
                <w:sz w:val="21"/>
                <w:szCs w:val="21"/>
              </w:rPr>
            </w:pPr>
          </w:p>
        </w:tc>
      </w:tr>
    </w:tbl>
    <w:p>
      <w:pPr>
        <w:tabs>
          <w:tab w:val="left" w:pos="0"/>
        </w:tabs>
        <w:adjustRightInd w:val="0"/>
        <w:snapToGrid w:val="0"/>
        <w:spacing w:line="590" w:lineRule="exact"/>
        <w:rPr>
          <w:rFonts w:eastAsia="Times New Roman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90" w:lineRule="exact"/>
        <w:jc w:val="center"/>
        <w:rPr>
          <w:rFonts w:ascii="?????_GBK" w:eastAsia="Times New Roman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?????_GBK" w:eastAsia="Times New Roman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?????_GBK" w:eastAsia="Times New Roman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?????_GBK" w:eastAsia="Times New Roman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rPr>
          <w:rFonts w:ascii="?????_GBK" w:eastAsia="Times New Roman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hint="eastAsia"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p>
      <w:pPr>
        <w:adjustRightInd w:val="0"/>
        <w:snapToGrid w:val="0"/>
        <w:spacing w:line="59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bCs/>
          <w:sz w:val="44"/>
          <w:szCs w:val="44"/>
          <w:shd w:val="clear" w:color="auto" w:fill="FFFFFF"/>
        </w:rPr>
        <w:t>廉政风险点</w:t>
      </w:r>
    </w:p>
    <w:p>
      <w:pPr>
        <w:adjustRightInd w:val="0"/>
        <w:snapToGrid w:val="0"/>
        <w:spacing w:line="24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</w:p>
    <w:tbl>
      <w:tblPr>
        <w:tblStyle w:val="10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925"/>
        <w:gridCol w:w="2478"/>
        <w:gridCol w:w="798"/>
        <w:gridCol w:w="3030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925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Style w:val="8"/>
                <w:rFonts w:ascii="方正小标宋简体" w:hAnsi="微软雅黑" w:eastAsia="方正小标宋简体"/>
                <w:b w:val="0"/>
                <w:bCs w:val="0"/>
                <w:sz w:val="28"/>
                <w:szCs w:val="28"/>
              </w:rPr>
            </w:pPr>
            <w:r>
              <w:rPr>
                <w:rStyle w:val="8"/>
                <w:rFonts w:hint="eastAsia" w:ascii="方正小标宋简体" w:hAnsi="微软雅黑" w:eastAsia="方正小标宋简体"/>
                <w:b w:val="0"/>
                <w:bCs w:val="0"/>
                <w:sz w:val="28"/>
                <w:szCs w:val="28"/>
              </w:rPr>
              <w:t>风险点数量</w:t>
            </w:r>
          </w:p>
        </w:tc>
        <w:tc>
          <w:tcPr>
            <w:tcW w:w="247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Style w:val="8"/>
                <w:rFonts w:ascii="方正小标宋简体" w:hAnsi="微软雅黑" w:eastAsia="方正小标宋简体"/>
                <w:b w:val="0"/>
                <w:bCs w:val="0"/>
                <w:sz w:val="28"/>
                <w:szCs w:val="28"/>
              </w:rPr>
            </w:pPr>
            <w:r>
              <w:rPr>
                <w:rStyle w:val="8"/>
                <w:rFonts w:hint="eastAsia" w:ascii="方正小标宋简体" w:hAnsi="微软雅黑" w:eastAsia="方正小标宋简体"/>
                <w:b w:val="0"/>
                <w:bCs w:val="0"/>
                <w:sz w:val="28"/>
                <w:szCs w:val="28"/>
              </w:rPr>
              <w:t>表现形式</w:t>
            </w:r>
          </w:p>
        </w:tc>
        <w:tc>
          <w:tcPr>
            <w:tcW w:w="79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Style w:val="8"/>
                <w:rFonts w:ascii="方正小标宋简体" w:hAnsi="微软雅黑" w:eastAsia="方正小标宋简体"/>
                <w:b w:val="0"/>
                <w:bCs w:val="0"/>
                <w:sz w:val="28"/>
                <w:szCs w:val="28"/>
              </w:rPr>
            </w:pPr>
            <w:r>
              <w:rPr>
                <w:rStyle w:val="8"/>
                <w:rFonts w:hint="eastAsia" w:ascii="方正小标宋简体" w:hAnsi="微软雅黑" w:eastAsia="方正小标宋简体"/>
                <w:b w:val="0"/>
                <w:bCs w:val="0"/>
                <w:sz w:val="28"/>
                <w:szCs w:val="28"/>
              </w:rPr>
              <w:t>等级</w:t>
            </w:r>
          </w:p>
        </w:tc>
        <w:tc>
          <w:tcPr>
            <w:tcW w:w="303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Style w:val="8"/>
                <w:rFonts w:ascii="方正小标宋简体" w:hAnsi="微软雅黑" w:eastAsia="方正小标宋简体"/>
                <w:b w:val="0"/>
                <w:bCs w:val="0"/>
                <w:sz w:val="28"/>
                <w:szCs w:val="28"/>
              </w:rPr>
            </w:pPr>
            <w:r>
              <w:rPr>
                <w:rStyle w:val="8"/>
                <w:rFonts w:hint="eastAsia" w:ascii="方正小标宋简体" w:hAnsi="微软雅黑" w:eastAsia="方正小标宋简体"/>
                <w:b w:val="0"/>
                <w:bCs w:val="0"/>
                <w:sz w:val="28"/>
                <w:szCs w:val="28"/>
              </w:rPr>
              <w:t>防控措施</w:t>
            </w:r>
          </w:p>
        </w:tc>
        <w:tc>
          <w:tcPr>
            <w:tcW w:w="184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Style w:val="8"/>
                <w:rFonts w:ascii="方正小标宋简体" w:hAnsi="微软雅黑" w:eastAsia="方正小标宋简体"/>
                <w:b w:val="0"/>
                <w:bCs w:val="0"/>
                <w:sz w:val="28"/>
                <w:szCs w:val="28"/>
              </w:rPr>
            </w:pPr>
            <w:r>
              <w:rPr>
                <w:rStyle w:val="8"/>
                <w:rFonts w:hint="eastAsia" w:ascii="方正小标宋简体" w:hAnsi="微软雅黑" w:eastAsia="方正小标宋简体"/>
                <w:b w:val="0"/>
                <w:bCs w:val="0"/>
                <w:sz w:val="28"/>
                <w:szCs w:val="28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925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</w:t>
            </w:r>
          </w:p>
        </w:tc>
        <w:tc>
          <w:tcPr>
            <w:tcW w:w="247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未依法作出责令限期缴纳或者补足的催告的</w:t>
            </w:r>
          </w:p>
        </w:tc>
        <w:tc>
          <w:tcPr>
            <w:tcW w:w="79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低</w:t>
            </w:r>
          </w:p>
        </w:tc>
        <w:tc>
          <w:tcPr>
            <w:tcW w:w="3030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加强执法监督，通过案卷评查、执法检查等加强对行政强制措施的监督力度；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加强《中华人民共和国社会保险法》、《中华人民共和国行政强制法》等法律法规的培训，提升执法人员业务水平，加强反腐倡廉教育，增强执法人员的廉政自律意识；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3.</w:t>
            </w:r>
            <w:r>
              <w:rPr>
                <w:rFonts w:hint="eastAsia" w:ascii="宋体" w:hAnsi="宋体"/>
                <w:sz w:val="21"/>
                <w:szCs w:val="21"/>
              </w:rPr>
              <w:t>严格遵守执法办案纪律要求，不单独与当事人会面，不在办公场所以外与当事人会面；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4.</w:t>
            </w:r>
            <w:r>
              <w:rPr>
                <w:rFonts w:hint="eastAsia" w:ascii="宋体" w:hAnsi="宋体"/>
                <w:sz w:val="21"/>
                <w:szCs w:val="21"/>
              </w:rPr>
              <w:t>严格落实有关规范执法行为的规章制度，用制度管人，按制度办事；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5.</w:t>
            </w:r>
            <w:r>
              <w:rPr>
                <w:rFonts w:hint="eastAsia" w:ascii="宋体" w:hAnsi="宋体"/>
                <w:sz w:val="21"/>
                <w:szCs w:val="21"/>
              </w:rPr>
              <w:t>明确工作职责，责任到处、到人，实行责任追究。</w:t>
            </w:r>
          </w:p>
        </w:tc>
        <w:tc>
          <w:tcPr>
            <w:tcW w:w="184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柳州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市人力资源和社会保障局劳动监察科</w:t>
            </w:r>
            <w:r>
              <w:rPr>
                <w:rFonts w:hint="eastAsia" w:ascii="宋体" w:hAnsi="宋体" w:cs="宋体"/>
                <w:snapToGrid w:val="0"/>
                <w:kern w:val="0"/>
                <w:sz w:val="21"/>
                <w:szCs w:val="21"/>
              </w:rPr>
              <w:t>工作人员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2208" w:hRule="atLeast"/>
          <w:jc w:val="center"/>
        </w:trPr>
        <w:tc>
          <w:tcPr>
            <w:tcW w:w="925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bCs/>
                <w:sz w:val="21"/>
                <w:szCs w:val="21"/>
              </w:rPr>
            </w:pPr>
            <w:bookmarkStart w:id="0" w:name="_GoBack" w:colFirst="4" w:colLast="4"/>
          </w:p>
        </w:tc>
        <w:tc>
          <w:tcPr>
            <w:tcW w:w="247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加处罚款或者滞纳金数额超出应缴纳社会保险费数额的</w:t>
            </w:r>
          </w:p>
        </w:tc>
        <w:tc>
          <w:tcPr>
            <w:tcW w:w="79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低</w:t>
            </w:r>
          </w:p>
        </w:tc>
        <w:tc>
          <w:tcPr>
            <w:tcW w:w="3030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sz w:val="21"/>
                <w:szCs w:val="21"/>
              </w:rPr>
            </w:pPr>
          </w:p>
        </w:tc>
        <w:tc>
          <w:tcPr>
            <w:tcW w:w="1841" w:type="dxa"/>
            <w:tcBorders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柳州市人力资源和社会保障局劳动监察科工作人员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925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247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3.</w:t>
            </w:r>
            <w:r>
              <w:rPr>
                <w:rFonts w:hint="eastAsia" w:ascii="宋体" w:hAnsi="宋体"/>
                <w:sz w:val="21"/>
                <w:szCs w:val="21"/>
              </w:rPr>
              <w:t>将划拨的存款予以截留、私分或者变相私分的</w:t>
            </w:r>
          </w:p>
        </w:tc>
        <w:tc>
          <w:tcPr>
            <w:tcW w:w="79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中</w:t>
            </w:r>
          </w:p>
        </w:tc>
        <w:tc>
          <w:tcPr>
            <w:tcW w:w="3030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184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柳州市人力资源和社会保障局劳动监察科工作人员、科长额分管领导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925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247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4.</w:t>
            </w:r>
            <w:r>
              <w:rPr>
                <w:rFonts w:hint="eastAsia" w:ascii="宋体" w:hAnsi="宋体"/>
                <w:sz w:val="21"/>
                <w:szCs w:val="21"/>
              </w:rPr>
              <w:t>收受当事人财物、有价证劵，或接受宴请，对应当划拨的社会保险费不划拨，或随意减少应当划拨的社会保险费</w:t>
            </w:r>
          </w:p>
        </w:tc>
        <w:tc>
          <w:tcPr>
            <w:tcW w:w="798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高</w:t>
            </w:r>
          </w:p>
        </w:tc>
        <w:tc>
          <w:tcPr>
            <w:tcW w:w="3030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1841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柳州市人力资源和社会保障局劳动监察科工作人员、科长和分管领导</w:t>
            </w:r>
          </w:p>
        </w:tc>
      </w:tr>
    </w:tbl>
    <w:p>
      <w:pPr>
        <w:tabs>
          <w:tab w:val="left" w:pos="0"/>
        </w:tabs>
        <w:adjustRightInd w:val="0"/>
        <w:snapToGrid w:val="0"/>
        <w:spacing w:line="560" w:lineRule="exact"/>
        <w:ind w:left="960" w:hanging="960" w:hangingChars="300"/>
        <w:rPr>
          <w:rFonts w:ascii="仿宋" w:hAnsi="仿宋" w:eastAsia="仿宋"/>
          <w:snapToGrid w:val="0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附件：58-</w:t>
      </w: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划拨社会保险费流程图</w:t>
      </w:r>
    </w:p>
    <w:p>
      <w:pPr>
        <w:pStyle w:val="13"/>
        <w:widowControl w:val="0"/>
        <w:adjustRightInd w:val="0"/>
        <w:snapToGrid w:val="0"/>
        <w:spacing w:line="59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eastAsia="Times New Roman"/>
          <w:snapToGrid w:val="0"/>
          <w:color w:val="000000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附件58-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pStyle w:val="13"/>
        <w:widowControl w:val="0"/>
        <w:adjustRightInd w:val="0"/>
        <w:snapToGrid w:val="0"/>
        <w:spacing w:line="59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pStyle w:val="13"/>
        <w:widowControl w:val="0"/>
        <w:adjustRightInd w:val="0"/>
        <w:snapToGrid w:val="0"/>
        <w:spacing w:line="560" w:lineRule="exact"/>
        <w:jc w:val="center"/>
        <w:rPr>
          <w:rFonts w:ascii="方正小标宋简体" w:hAnsi="仿宋_GB2312" w:eastAsia="方正小标宋简体"/>
          <w:kern w:val="2"/>
          <w:sz w:val="44"/>
          <w:szCs w:val="44"/>
        </w:rPr>
      </w:pPr>
      <w:r>
        <w:rPr>
          <w:rFonts w:hint="eastAsia" w:ascii="方正小标宋简体" w:hAnsi="仿宋_GB2312" w:eastAsia="方正小标宋简体"/>
          <w:kern w:val="2"/>
          <w:sz w:val="44"/>
          <w:szCs w:val="44"/>
        </w:rPr>
        <w:t>划拨社会保险费流程图</w:t>
      </w:r>
    </w:p>
    <w:p>
      <w:pPr>
        <w:tabs>
          <w:tab w:val="left" w:pos="0"/>
        </w:tabs>
        <w:adjustRightInd w:val="0"/>
        <w:snapToGrid w:val="0"/>
        <w:spacing w:line="590" w:lineRule="exact"/>
        <w:rPr>
          <w:rFonts w:eastAsia="Times New Roman"/>
          <w:snapToGrid w:val="0"/>
          <w:color w:val="000000"/>
          <w:sz w:val="32"/>
          <w:szCs w:val="32"/>
        </w:rPr>
      </w:pPr>
    </w:p>
    <w:p>
      <w:r>
        <w:pict>
          <v:roundrect id="_x0000_s1037" o:spid="_x0000_s1037" o:spt="2" style="position:absolute;left:0pt;margin-left:92.8pt;margin-top:280.6pt;height:43.45pt;width:272.95pt;z-index:102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若用人单位银行账户</w:t>
                  </w:r>
                  <w:r>
                    <w:rPr>
                      <w:rFonts w:hint="eastAsia"/>
                      <w:color w:val="000000"/>
                      <w:sz w:val="21"/>
                      <w:szCs w:val="21"/>
                      <w:shd w:val="clear" w:color="auto" w:fill="FFFFFF"/>
                    </w:rPr>
                    <w:t>存款余额小于欠费金额的，社保局拿《行政决定书》到法院申请划拨。</w:t>
                  </w:r>
                </w:p>
              </w:txbxContent>
            </v:textbox>
          </v:roundrect>
        </w:pict>
      </w:r>
      <w:r>
        <w:pict>
          <v:shape id="_x0000_s1036" o:spid="_x0000_s1036" o:spt="32" type="#_x0000_t32" style="position:absolute;left:0pt;margin-left:227.9pt;margin-top:250.45pt;height:30.15pt;width:0.2pt;z-index:102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line id="直线 410" o:spid="_x0000_s1026" o:spt="20" style="position:absolute;left:0pt;margin-left:227.9pt;margin-top:65.05pt;height:22.25pt;width:0.2pt;z-index:1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自选图形 411" o:spid="_x0000_s1027" o:spt="176" type="#_x0000_t176" style="position:absolute;left:0pt;margin-left:85.9pt;margin-top:87.3pt;height:32.05pt;width:295.5pt;z-index:1024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2.413mm,1.2065mm,2.413mm,1.2065mm">
              <w:txbxContent>
                <w:p>
                  <w:pPr>
                    <w:spacing w:line="260" w:lineRule="exact"/>
                    <w:jc w:val="center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社保局给市人社局《划拨欠缴社会保险费申请书》。</w:t>
                  </w:r>
                </w:p>
              </w:txbxContent>
            </v:textbox>
          </v:shape>
        </w:pict>
      </w:r>
      <w:r>
        <w:pict>
          <v:line id="直线 412" o:spid="_x0000_s1028" o:spt="20" style="position:absolute;left:0pt;flip:x;margin-left:227.9pt;margin-top:119.35pt;height:30.9pt;width:0.2pt;z-index:1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自选图形 413" o:spid="_x0000_s1029" o:spt="176" type="#_x0000_t176" style="position:absolute;left:0pt;margin-left:85.9pt;margin-top:150.25pt;height:42.45pt;width:295.5pt;z-index:1024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2.413mm,1.2065mm,2.413mm,1.2065mm">
              <w:txbxContent>
                <w:p>
                  <w:pPr>
                    <w:spacing w:line="30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市人社局下《行政决定书》。</w:t>
                  </w:r>
                </w:p>
              </w:txbxContent>
            </v:textbox>
          </v:shape>
        </w:pict>
      </w:r>
      <w:r>
        <w:pict>
          <v:line id="直线 414" o:spid="_x0000_s1030" o:spt="20" style="position:absolute;left:0pt;margin-left:227.9pt;margin-top:192.7pt;height:29.25pt;width:0pt;z-index:1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自选图形 415" o:spid="_x0000_s1031" o:spt="176" type="#_x0000_t176" style="position:absolute;left:0pt;margin-left:91.3pt;margin-top:221.95pt;height:28.5pt;width:280.1pt;z-index:1024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2.413mm,1.2065mm,2.413mm,1.2065mm">
              <w:txbxContent>
                <w:p>
                  <w:pPr>
                    <w:spacing w:line="260" w:lineRule="exact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社保局凭市人社局批复到银行划拨社会保险费。</w:t>
                  </w:r>
                </w:p>
                <w:p>
                  <w:pPr>
                    <w:spacing w:line="260" w:lineRule="exact"/>
                    <w:rPr>
                      <w:rFonts w:ascii="宋体" w:hAnsi="宋体"/>
                      <w:sz w:val="21"/>
                      <w:szCs w:val="21"/>
                    </w:rPr>
                  </w:pPr>
                </w:p>
                <w:p>
                  <w:pPr>
                    <w:spacing w:line="260" w:lineRule="exact"/>
                    <w:rPr>
                      <w:rFonts w:ascii="宋体" w:hAnsi="宋体"/>
                      <w:sz w:val="21"/>
                      <w:szCs w:val="21"/>
                    </w:rPr>
                  </w:pPr>
                </w:p>
                <w:p>
                  <w:pPr>
                    <w:spacing w:line="260" w:lineRule="exact"/>
                    <w:rPr>
                      <w:rFonts w:ascii="宋体" w:hAnsi="宋体"/>
                      <w:sz w:val="21"/>
                      <w:szCs w:val="21"/>
                    </w:rPr>
                  </w:pPr>
                </w:p>
                <w:p>
                  <w:pPr>
                    <w:spacing w:line="260" w:lineRule="exact"/>
                    <w:rPr>
                      <w:rFonts w:ascii="宋体"/>
                      <w:sz w:val="21"/>
                      <w:szCs w:val="21"/>
                    </w:rPr>
                  </w:pPr>
                </w:p>
              </w:txbxContent>
            </v:textbox>
          </v:shape>
        </w:pict>
      </w:r>
      <w:r>
        <w:pict>
          <v:shape id="自选图形 409" o:spid="_x0000_s1034" o:spt="176" type="#_x0000_t176" style="position:absolute;left:0pt;margin-left:92.8pt;margin-top:28.35pt;height:36.7pt;width:278.6pt;z-index:1024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2.413mm,1.2065mm,2.413mm,1.2065mm">
              <w:txbxContent>
                <w:p>
                  <w:pPr>
                    <w:jc w:val="center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pacing w:val="4"/>
                      <w:sz w:val="21"/>
                      <w:szCs w:val="21"/>
                    </w:rPr>
                    <w:t>社保局查询用人单位银行账户和金额。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3649"/>
    <w:rsid w:val="00024EA8"/>
    <w:rsid w:val="0003046F"/>
    <w:rsid w:val="00030B40"/>
    <w:rsid w:val="0006149F"/>
    <w:rsid w:val="00073649"/>
    <w:rsid w:val="00093F8F"/>
    <w:rsid w:val="000C6B60"/>
    <w:rsid w:val="000D2563"/>
    <w:rsid w:val="000D2AF1"/>
    <w:rsid w:val="00100116"/>
    <w:rsid w:val="00102230"/>
    <w:rsid w:val="001161B3"/>
    <w:rsid w:val="00133496"/>
    <w:rsid w:val="0016147F"/>
    <w:rsid w:val="00182568"/>
    <w:rsid w:val="001B7284"/>
    <w:rsid w:val="001C4151"/>
    <w:rsid w:val="00201847"/>
    <w:rsid w:val="002154AE"/>
    <w:rsid w:val="00231793"/>
    <w:rsid w:val="00265082"/>
    <w:rsid w:val="00285559"/>
    <w:rsid w:val="002C4C22"/>
    <w:rsid w:val="00321C40"/>
    <w:rsid w:val="00350287"/>
    <w:rsid w:val="00361EE9"/>
    <w:rsid w:val="003657D5"/>
    <w:rsid w:val="00395069"/>
    <w:rsid w:val="003A1212"/>
    <w:rsid w:val="003C6729"/>
    <w:rsid w:val="003E453A"/>
    <w:rsid w:val="0040375B"/>
    <w:rsid w:val="00407950"/>
    <w:rsid w:val="004A3AAF"/>
    <w:rsid w:val="004E2F23"/>
    <w:rsid w:val="005231D7"/>
    <w:rsid w:val="00563293"/>
    <w:rsid w:val="0059702B"/>
    <w:rsid w:val="005A1E84"/>
    <w:rsid w:val="005C7701"/>
    <w:rsid w:val="00606168"/>
    <w:rsid w:val="00647A64"/>
    <w:rsid w:val="00673148"/>
    <w:rsid w:val="0068244E"/>
    <w:rsid w:val="006A3ACF"/>
    <w:rsid w:val="00756FD7"/>
    <w:rsid w:val="00762959"/>
    <w:rsid w:val="00771B01"/>
    <w:rsid w:val="00787C3E"/>
    <w:rsid w:val="007A28E6"/>
    <w:rsid w:val="00830DCA"/>
    <w:rsid w:val="00844CF2"/>
    <w:rsid w:val="008553C4"/>
    <w:rsid w:val="00866AFE"/>
    <w:rsid w:val="008A26CC"/>
    <w:rsid w:val="008D7D2D"/>
    <w:rsid w:val="009002BB"/>
    <w:rsid w:val="00910798"/>
    <w:rsid w:val="00983588"/>
    <w:rsid w:val="009958F3"/>
    <w:rsid w:val="009D38B5"/>
    <w:rsid w:val="009D4DC5"/>
    <w:rsid w:val="009F4EBA"/>
    <w:rsid w:val="009F5A39"/>
    <w:rsid w:val="00A005F9"/>
    <w:rsid w:val="00A07B17"/>
    <w:rsid w:val="00A169E1"/>
    <w:rsid w:val="00A24D3A"/>
    <w:rsid w:val="00A255A2"/>
    <w:rsid w:val="00A34FF9"/>
    <w:rsid w:val="00A40AE4"/>
    <w:rsid w:val="00A465BC"/>
    <w:rsid w:val="00A65F02"/>
    <w:rsid w:val="00A72537"/>
    <w:rsid w:val="00AA2DAD"/>
    <w:rsid w:val="00AB1CF5"/>
    <w:rsid w:val="00B6506D"/>
    <w:rsid w:val="00BB0E48"/>
    <w:rsid w:val="00BB56F9"/>
    <w:rsid w:val="00BE5293"/>
    <w:rsid w:val="00C822C1"/>
    <w:rsid w:val="00CB1AC9"/>
    <w:rsid w:val="00CB6617"/>
    <w:rsid w:val="00CB6E28"/>
    <w:rsid w:val="00CE5A7C"/>
    <w:rsid w:val="00CF08D8"/>
    <w:rsid w:val="00D20A9A"/>
    <w:rsid w:val="00D566EA"/>
    <w:rsid w:val="00D769CB"/>
    <w:rsid w:val="00DA17D4"/>
    <w:rsid w:val="00DB3E12"/>
    <w:rsid w:val="00DC5358"/>
    <w:rsid w:val="00DD4A35"/>
    <w:rsid w:val="00E50A64"/>
    <w:rsid w:val="00E54B32"/>
    <w:rsid w:val="00E61BFE"/>
    <w:rsid w:val="00E870DC"/>
    <w:rsid w:val="00E87323"/>
    <w:rsid w:val="00EB45C0"/>
    <w:rsid w:val="00ED745D"/>
    <w:rsid w:val="00F005C8"/>
    <w:rsid w:val="00F0256C"/>
    <w:rsid w:val="00F059AF"/>
    <w:rsid w:val="00F06CA9"/>
    <w:rsid w:val="00F07B91"/>
    <w:rsid w:val="00F26931"/>
    <w:rsid w:val="00F72877"/>
    <w:rsid w:val="00F97199"/>
    <w:rsid w:val="00FA4FC0"/>
    <w:rsid w:val="00FB6CB0"/>
    <w:rsid w:val="079648F6"/>
    <w:rsid w:val="0D820F62"/>
    <w:rsid w:val="12E77DE6"/>
    <w:rsid w:val="16ED0A95"/>
    <w:rsid w:val="1F4D70CF"/>
    <w:rsid w:val="27AA4486"/>
    <w:rsid w:val="2E1261EC"/>
    <w:rsid w:val="4A5D35AB"/>
    <w:rsid w:val="4F973B9A"/>
    <w:rsid w:val="502D23FC"/>
    <w:rsid w:val="703A25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semiHidden/>
    <w:unhideWhenUsed/>
    <w:uiPriority w:val="99"/>
    <w:rPr>
      <w:b/>
      <w:bCs/>
    </w:rPr>
  </w:style>
  <w:style w:type="paragraph" w:styleId="3">
    <w:name w:val="annotation text"/>
    <w:basedOn w:val="1"/>
    <w:link w:val="15"/>
    <w:semiHidden/>
    <w:unhideWhenUsed/>
    <w:uiPriority w:val="99"/>
    <w:pPr>
      <w:jc w:val="left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styleId="9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7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7"/>
    <w:link w:val="5"/>
    <w:semiHidden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p0"/>
    <w:basedOn w:val="1"/>
    <w:qFormat/>
    <w:uiPriority w:val="99"/>
    <w:pPr>
      <w:widowControl/>
    </w:pPr>
    <w:rPr>
      <w:kern w:val="0"/>
      <w:sz w:val="21"/>
      <w:szCs w:val="21"/>
    </w:rPr>
  </w:style>
  <w:style w:type="character" w:customStyle="1" w:styleId="14">
    <w:name w:val="批注框文本 Char"/>
    <w:basedOn w:val="7"/>
    <w:link w:val="4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5">
    <w:name w:val="批注文字 Char"/>
    <w:basedOn w:val="7"/>
    <w:link w:val="3"/>
    <w:semiHidden/>
    <w:uiPriority w:val="99"/>
    <w:rPr>
      <w:rFonts w:ascii="Times New Roman" w:hAnsi="Times New Roman"/>
      <w:kern w:val="2"/>
      <w:sz w:val="30"/>
      <w:szCs w:val="30"/>
    </w:rPr>
  </w:style>
  <w:style w:type="character" w:customStyle="1" w:styleId="16">
    <w:name w:val="批注主题 Char"/>
    <w:basedOn w:val="15"/>
    <w:link w:val="2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7"/>
    <customShpInfo spid="_x0000_s1036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332</Words>
  <Characters>1894</Characters>
  <Lines>15</Lines>
  <Paragraphs>4</Paragraphs>
  <TotalTime>0</TotalTime>
  <ScaleCrop>false</ScaleCrop>
  <LinksUpToDate>false</LinksUpToDate>
  <CharactersWithSpaces>2222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2017-05-08T08:15:00Z</dcterms:created>
  <dc:creator>微软用户</dc:creator>
  <cp:lastModifiedBy>4587548</cp:lastModifiedBy>
  <dcterms:modified xsi:type="dcterms:W3CDTF">2018-04-27T02:26:55Z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